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9E21B" w14:textId="14950D5A" w:rsidR="00553C23" w:rsidRPr="00553C23" w:rsidRDefault="00A4347C" w:rsidP="00D81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4222763"/>
      <w:bookmarkStart w:id="1" w:name="_GoBack"/>
      <w:bookmarkEnd w:id="1"/>
      <w:r>
        <w:rPr>
          <w:rFonts w:ascii="Times New Roman" w:eastAsia="SimSun" w:hAnsi="Times New Roman"/>
          <w:b/>
          <w:bCs/>
          <w:sz w:val="28"/>
          <w:szCs w:val="28"/>
        </w:rPr>
        <w:t xml:space="preserve">Estijos, </w:t>
      </w:r>
      <w:r w:rsidR="00553C23" w:rsidRPr="00553C23">
        <w:rPr>
          <w:rFonts w:ascii="Times New Roman" w:hAnsi="Times New Roman"/>
          <w:b/>
          <w:bCs/>
          <w:sz w:val="28"/>
          <w:szCs w:val="28"/>
        </w:rPr>
        <w:t>Latvijos ir Lietuvos Kultūros rėmimo fond</w:t>
      </w:r>
      <w:r>
        <w:rPr>
          <w:rFonts w:ascii="Times New Roman" w:hAnsi="Times New Roman"/>
          <w:b/>
          <w:bCs/>
          <w:sz w:val="28"/>
          <w:szCs w:val="28"/>
        </w:rPr>
        <w:t>ų</w:t>
      </w:r>
      <w:r w:rsidR="00553C23" w:rsidRPr="00553C23">
        <w:rPr>
          <w:rFonts w:ascii="Times New Roman" w:hAnsi="Times New Roman"/>
          <w:b/>
          <w:bCs/>
          <w:sz w:val="28"/>
          <w:szCs w:val="28"/>
        </w:rPr>
        <w:t xml:space="preserve"> skirstymo</w:t>
      </w:r>
      <w:r>
        <w:rPr>
          <w:rFonts w:ascii="Times New Roman" w:hAnsi="Times New Roman"/>
          <w:b/>
          <w:bCs/>
          <w:sz w:val="28"/>
          <w:szCs w:val="28"/>
        </w:rPr>
        <w:t xml:space="preserve"> p</w:t>
      </w:r>
      <w:r w:rsidR="00553C23" w:rsidRPr="00553C23">
        <w:rPr>
          <w:rFonts w:ascii="Times New Roman" w:hAnsi="Times New Roman" w:cs="Times New Roman"/>
          <w:b/>
          <w:bCs/>
          <w:sz w:val="28"/>
          <w:szCs w:val="28"/>
        </w:rPr>
        <w:t>roporcij</w:t>
      </w:r>
      <w:r>
        <w:rPr>
          <w:rFonts w:ascii="Times New Roman" w:hAnsi="Times New Roman" w:cs="Times New Roman"/>
          <w:b/>
          <w:bCs/>
          <w:sz w:val="28"/>
          <w:szCs w:val="28"/>
        </w:rPr>
        <w:t>os</w:t>
      </w:r>
      <w:bookmarkEnd w:id="0"/>
      <w:r w:rsidR="00553C23" w:rsidRPr="00553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60"/>
        <w:gridCol w:w="7869"/>
      </w:tblGrid>
      <w:tr w:rsidR="007F46DB" w14:paraId="7F4B1460" w14:textId="77777777" w:rsidTr="00DA2ADF">
        <w:trPr>
          <w:trHeight w:val="4784"/>
          <w:jc w:val="center"/>
        </w:trPr>
        <w:tc>
          <w:tcPr>
            <w:tcW w:w="7760" w:type="dxa"/>
          </w:tcPr>
          <w:p w14:paraId="45646C2A" w14:textId="356831E8" w:rsidR="007F46DB" w:rsidRDefault="007F46DB" w:rsidP="007F46DB">
            <w:r w:rsidRPr="00853433">
              <w:rPr>
                <w:b/>
                <w:sz w:val="28"/>
                <w:szCs w:val="28"/>
              </w:rPr>
              <w:t>Estijos KRF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53433">
              <w:rPr>
                <w:sz w:val="20"/>
                <w:szCs w:val="20"/>
              </w:rPr>
              <w:t xml:space="preserve">[2019 </w:t>
            </w:r>
            <w:proofErr w:type="spellStart"/>
            <w:r w:rsidRPr="00853433">
              <w:rPr>
                <w:sz w:val="20"/>
                <w:szCs w:val="20"/>
              </w:rPr>
              <w:t>m</w:t>
            </w:r>
            <w:proofErr w:type="spellEnd"/>
            <w:r w:rsidRPr="00853433">
              <w:rPr>
                <w:sz w:val="20"/>
                <w:szCs w:val="20"/>
              </w:rPr>
              <w:t xml:space="preserve">. duomenys – </w:t>
            </w:r>
            <w:r>
              <w:rPr>
                <w:sz w:val="20"/>
                <w:szCs w:val="20"/>
              </w:rPr>
              <w:t>viso 19.</w:t>
            </w:r>
            <w:r w:rsidRPr="00853433">
              <w:rPr>
                <w:sz w:val="20"/>
                <w:szCs w:val="20"/>
              </w:rPr>
              <w:t xml:space="preserve">841 </w:t>
            </w:r>
            <w:proofErr w:type="spellStart"/>
            <w:r w:rsidRPr="00853433">
              <w:rPr>
                <w:sz w:val="20"/>
                <w:szCs w:val="20"/>
              </w:rPr>
              <w:t>tūkst</w:t>
            </w:r>
            <w:proofErr w:type="spellEnd"/>
            <w:r w:rsidRPr="00853433">
              <w:rPr>
                <w:sz w:val="20"/>
                <w:szCs w:val="20"/>
              </w:rPr>
              <w:t xml:space="preserve"> </w:t>
            </w:r>
            <w:proofErr w:type="spellStart"/>
            <w:r w:rsidRPr="00853433">
              <w:rPr>
                <w:sz w:val="20"/>
                <w:szCs w:val="20"/>
              </w:rPr>
              <w:t>Eur</w:t>
            </w:r>
            <w:proofErr w:type="spellEnd"/>
            <w:r w:rsidRPr="00853433">
              <w:rPr>
                <w:sz w:val="20"/>
                <w:szCs w:val="20"/>
              </w:rPr>
              <w:t xml:space="preserve"> (be investicinių projektų 10</w:t>
            </w:r>
            <w:r>
              <w:rPr>
                <w:sz w:val="20"/>
                <w:szCs w:val="20"/>
              </w:rPr>
              <w:t>.</w:t>
            </w:r>
            <w:r w:rsidRPr="00853433">
              <w:rPr>
                <w:sz w:val="20"/>
                <w:szCs w:val="20"/>
              </w:rPr>
              <w:t>000 tūkst. Eur)]</w:t>
            </w:r>
          </w:p>
          <w:p w14:paraId="1EE04F97" w14:textId="74F51B3C" w:rsidR="007F46DB" w:rsidRDefault="007F46DB" w:rsidP="00A4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7A22B95D" wp14:editId="295EA5FB">
                  <wp:extent cx="4810125" cy="2676525"/>
                  <wp:effectExtent l="0" t="0" r="9525" b="9525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7869" w:type="dxa"/>
            <w:vMerge w:val="restart"/>
          </w:tcPr>
          <w:p w14:paraId="2944364D" w14:textId="75F6B5AD" w:rsidR="007F46DB" w:rsidRDefault="007F46DB" w:rsidP="007F46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32"/>
                <w:szCs w:val="32"/>
              </w:rPr>
              <w:t>Latvi</w:t>
            </w:r>
            <w:r w:rsidRPr="00A4347C">
              <w:rPr>
                <w:b/>
                <w:sz w:val="32"/>
                <w:szCs w:val="32"/>
              </w:rPr>
              <w:t>jos KRF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F46DB">
              <w:rPr>
                <w:sz w:val="32"/>
                <w:szCs w:val="32"/>
              </w:rPr>
              <w:t>[</w:t>
            </w:r>
            <w:r w:rsidRPr="007F46DB">
              <w:rPr>
                <w:rFonts w:ascii="Times New Roman" w:hAnsi="Times New Roman" w:cs="Times New Roman"/>
                <w:bCs/>
                <w:lang w:val="en-US"/>
              </w:rPr>
              <w:t xml:space="preserve">2017 m.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duomenys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46DB">
              <w:rPr>
                <w:rFonts w:ascii="Times New Roman" w:hAnsi="Times New Roman" w:cs="Times New Roman"/>
                <w:bCs/>
                <w:lang w:val="en-US"/>
              </w:rPr>
              <w:t xml:space="preserve">– </w:t>
            </w:r>
            <w:proofErr w:type="spellStart"/>
            <w:r w:rsidRPr="007F46DB">
              <w:rPr>
                <w:rFonts w:ascii="Times New Roman" w:hAnsi="Times New Roman" w:cs="Times New Roman"/>
                <w:bCs/>
                <w:lang w:val="en-US"/>
              </w:rPr>
              <w:t>viso</w:t>
            </w:r>
            <w:proofErr w:type="spellEnd"/>
            <w:r w:rsidRPr="007F46DB">
              <w:rPr>
                <w:rFonts w:ascii="Times New Roman" w:hAnsi="Times New Roman" w:cs="Times New Roman"/>
                <w:bCs/>
              </w:rPr>
              <w:t xml:space="preserve"> 10.067 </w:t>
            </w:r>
            <w:proofErr w:type="spellStart"/>
            <w:r w:rsidRPr="007F46DB">
              <w:rPr>
                <w:rFonts w:ascii="Times New Roman" w:hAnsi="Times New Roman" w:cs="Times New Roman"/>
                <w:bCs/>
              </w:rPr>
              <w:t>tūkst</w:t>
            </w:r>
            <w:proofErr w:type="spellEnd"/>
            <w:r w:rsidRPr="007F46DB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F46DB">
              <w:rPr>
                <w:rFonts w:ascii="Times New Roman" w:hAnsi="Times New Roman" w:cs="Times New Roman"/>
                <w:bCs/>
              </w:rPr>
              <w:t>Eur</w:t>
            </w:r>
            <w:proofErr w:type="spellEnd"/>
            <w:r w:rsidRPr="007F46DB">
              <w:rPr>
                <w:rFonts w:ascii="Times New Roman" w:hAnsi="Times New Roman" w:cs="Times New Roman"/>
                <w:bCs/>
              </w:rPr>
              <w:t>]</w:t>
            </w:r>
          </w:p>
          <w:p w14:paraId="2F4483A9" w14:textId="77777777" w:rsidR="007F46DB" w:rsidRDefault="007F46DB" w:rsidP="00D8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0A55" w14:textId="0C1C5133" w:rsidR="007F46DB" w:rsidRDefault="007F46DB" w:rsidP="00D8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3563DA0F" wp14:editId="14B32C60">
                  <wp:extent cx="4800600" cy="2895600"/>
                  <wp:effectExtent l="0" t="0" r="19050" b="19050"/>
                  <wp:docPr id="1" name="Diagrama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7F46DB" w14:paraId="087F9532" w14:textId="77777777" w:rsidTr="00DA2ADF">
        <w:trPr>
          <w:trHeight w:val="4852"/>
          <w:jc w:val="center"/>
        </w:trPr>
        <w:tc>
          <w:tcPr>
            <w:tcW w:w="7760" w:type="dxa"/>
          </w:tcPr>
          <w:p w14:paraId="08A384EE" w14:textId="31D2F5D0" w:rsidR="007F46DB" w:rsidRDefault="007F46DB" w:rsidP="007F46DB">
            <w:r w:rsidRPr="007F46DB">
              <w:rPr>
                <w:b/>
                <w:sz w:val="28"/>
                <w:szCs w:val="28"/>
              </w:rPr>
              <w:t>Lietuvos KRF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t xml:space="preserve">[2019 </w:t>
            </w:r>
            <w:proofErr w:type="spellStart"/>
            <w:r>
              <w:t>m</w:t>
            </w:r>
            <w:proofErr w:type="spellEnd"/>
            <w:r>
              <w:t xml:space="preserve">. duomenys – 19.671 </w:t>
            </w:r>
            <w:proofErr w:type="spellStart"/>
            <w:r>
              <w:t>tūkst</w:t>
            </w:r>
            <w:proofErr w:type="spellEnd"/>
            <w:r>
              <w:t xml:space="preserve">. </w:t>
            </w:r>
            <w:proofErr w:type="spellStart"/>
            <w:r>
              <w:t>Eur</w:t>
            </w:r>
            <w:proofErr w:type="spellEnd"/>
            <w:r>
              <w:t>]</w:t>
            </w:r>
          </w:p>
          <w:p w14:paraId="0AD5117B" w14:textId="77777777" w:rsidR="00DA2ADF" w:rsidRDefault="00DA2ADF" w:rsidP="007F46DB"/>
          <w:p w14:paraId="17CA0DB9" w14:textId="6B359FC1" w:rsidR="007F46DB" w:rsidRPr="00853433" w:rsidRDefault="007F46DB" w:rsidP="00A43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033E922C" wp14:editId="2E8B96FF">
                  <wp:extent cx="4876800" cy="2790825"/>
                  <wp:effectExtent l="0" t="0" r="19050" b="9525"/>
                  <wp:docPr id="6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869" w:type="dxa"/>
            <w:vMerge/>
          </w:tcPr>
          <w:p w14:paraId="3D7D3C50" w14:textId="77777777" w:rsidR="007F46DB" w:rsidRPr="00A4347C" w:rsidRDefault="007F46DB" w:rsidP="00A4347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0F10D67" w14:textId="23A62D59" w:rsidR="00A4347C" w:rsidRDefault="00A4347C" w:rsidP="007B19E8"/>
    <w:sectPr w:rsidR="00A4347C" w:rsidSect="00853433">
      <w:pgSz w:w="16838" w:h="11906" w:orient="landscape"/>
      <w:pgMar w:top="85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82"/>
    <w:rsid w:val="00024D1E"/>
    <w:rsid w:val="00240B2A"/>
    <w:rsid w:val="00244960"/>
    <w:rsid w:val="00386911"/>
    <w:rsid w:val="004F4032"/>
    <w:rsid w:val="00553C23"/>
    <w:rsid w:val="00566E54"/>
    <w:rsid w:val="00576675"/>
    <w:rsid w:val="006D7AE6"/>
    <w:rsid w:val="006E3CDE"/>
    <w:rsid w:val="00782DEC"/>
    <w:rsid w:val="007A02A8"/>
    <w:rsid w:val="007B19E8"/>
    <w:rsid w:val="007F46DB"/>
    <w:rsid w:val="00853433"/>
    <w:rsid w:val="00857D27"/>
    <w:rsid w:val="008902FB"/>
    <w:rsid w:val="009579EB"/>
    <w:rsid w:val="00960646"/>
    <w:rsid w:val="0098201D"/>
    <w:rsid w:val="00A4347C"/>
    <w:rsid w:val="00C45815"/>
    <w:rsid w:val="00D17C82"/>
    <w:rsid w:val="00D239F9"/>
    <w:rsid w:val="00D77186"/>
    <w:rsid w:val="00D81A39"/>
    <w:rsid w:val="00DA2ADF"/>
    <w:rsid w:val="00DD31AB"/>
    <w:rsid w:val="00E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A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496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A4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496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A4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593303367443442"/>
          <c:y val="0.10821232755158275"/>
          <c:w val="0.3636003222369481"/>
          <c:h val="0.6534454189667572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dPt>
            <c:idx val="0"/>
            <c:bubble3D val="0"/>
            <c:spPr>
              <a:solidFill>
                <a:srgbClr val="C00000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37-4EAE-A3D8-26136F86B20E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2D-4FC8-AD43-D70A3B80078A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02D-4FC8-AD43-D70A3B80078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Sričių projektams: 75 proc. - 14,768 tūkst. Eur (iš jų ekspertams - 179 tūkst. Eur)</c:v>
                </c:pt>
                <c:pt idx="1">
                  <c:v>Regioniniam modeliui: 25 proc. - 4,683 tūkst. Eur (iš jų ekspertams - 240 tūkst. Eur)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2D-4FC8-AD43-D70A3B800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8868947049634985E-2"/>
          <c:y val="0.8489376468390889"/>
          <c:w val="0.84226189337668822"/>
          <c:h val="0.121099806344431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638888888888891E-2"/>
          <c:y val="0.27741228070175439"/>
          <c:w val="0.37698412698412698"/>
          <c:h val="0.625"/>
        </c:manualLayout>
      </c:layout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  <a:ln>
                <a:noFill/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4"/>
                <c:pt idx="0">
                  <c:v>Administracija: 6 proc. - 596.473 Eur</c:v>
                </c:pt>
                <c:pt idx="1">
                  <c:v>Viso gyvenimo premijos: 5 proc. - 496.800 Eur</c:v>
                </c:pt>
                <c:pt idx="2">
                  <c:v>Lėšos projektams: 56 proc. - 5. 602. 826 Eur</c:v>
                </c:pt>
                <c:pt idx="3">
                  <c:v>Specialiosios programos: 33 proc. - 3. 371 020 Eur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56</c:v>
                </c:pt>
                <c:pt idx="3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DE-4C58-8EE6-D0FC00D3F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2713910761154861"/>
          <c:y val="0.2693607542478243"/>
          <c:w val="0.57008311461067362"/>
          <c:h val="0.478822647169103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543687039120111"/>
          <c:y val="0"/>
          <c:w val="0.36608308727034122"/>
          <c:h val="0.6397083299741116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92D050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97-4C36-BE33-AB98AEF05AA4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F97-4C36-BE33-AB98AEF05AA4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97-4C36-BE33-AB98AEF05AA4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F97-4C36-BE33-AB98AEF05AA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Ekspertavimui: iki 4 proc. - ne daugiau kaip 787 tūkst. Eur</c:v>
                </c:pt>
                <c:pt idx="1">
                  <c:v>Sričių projaktams: 28,6 proc. - 5,610 tūkst. Eur</c:v>
                </c:pt>
                <c:pt idx="2">
                  <c:v>Specialiosioms programoms: 52,2 proc. - 10,269 tūkst. Eur</c:v>
                </c:pt>
                <c:pt idx="3">
                  <c:v>Regioniniam modeliui (progr. "Tolygi kultūrinė veikla"): 15,25 proc. - 3,000 tūkst. Eur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29</c:v>
                </c:pt>
                <c:pt idx="2">
                  <c:v>52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97-4C36-BE33-AB98AEF05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CFC9-B8E1-4AE9-977C-4F76654C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A.Daraškevičienė</dc:creator>
  <cp:lastModifiedBy>ACER</cp:lastModifiedBy>
  <cp:revision>2</cp:revision>
  <cp:lastPrinted>2019-04-04T13:01:00Z</cp:lastPrinted>
  <dcterms:created xsi:type="dcterms:W3CDTF">2021-06-28T16:58:00Z</dcterms:created>
  <dcterms:modified xsi:type="dcterms:W3CDTF">2021-06-28T16:58:00Z</dcterms:modified>
</cp:coreProperties>
</file>